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峄城区公路事业发展中心</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2022年度服务高质量发展绩效考核工作任务要点完成进度情况</w:t>
      </w: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主管部门：枣庄市公路和地方铁路事业发展中心                     主管部门负责人：</w:t>
      </w:r>
      <w:r>
        <w:rPr>
          <w:rFonts w:hint="eastAsia" w:ascii="仿宋_GB2312" w:hAnsi="仿宋_GB2312" w:eastAsia="仿宋_GB2312" w:cs="仿宋_GB2312"/>
          <w:sz w:val="32"/>
          <w:szCs w:val="32"/>
          <w:lang w:eastAsia="zh-CN"/>
        </w:rPr>
        <w:t>赵丽</w:t>
      </w:r>
    </w:p>
    <w:tbl>
      <w:tblPr>
        <w:tblStyle w:val="10"/>
        <w:tblW w:w="15237"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587"/>
        <w:gridCol w:w="3480"/>
        <w:gridCol w:w="3567"/>
        <w:gridCol w:w="5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黑体" w:hAnsi="黑体" w:eastAsia="黑体" w:cs="黑体"/>
                <w:b/>
                <w:sz w:val="28"/>
                <w:szCs w:val="28"/>
              </w:rPr>
            </w:pPr>
            <w:r>
              <w:rPr>
                <w:rFonts w:hint="eastAsia" w:ascii="黑体" w:hAnsi="黑体" w:eastAsia="黑体" w:cs="黑体"/>
                <w:b/>
                <w:sz w:val="28"/>
                <w:szCs w:val="28"/>
              </w:rPr>
              <w:t>一级指标</w:t>
            </w:r>
          </w:p>
        </w:tc>
        <w:tc>
          <w:tcPr>
            <w:tcW w:w="158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黑体" w:hAnsi="黑体" w:eastAsia="黑体" w:cs="黑体"/>
                <w:b/>
                <w:sz w:val="28"/>
                <w:szCs w:val="28"/>
              </w:rPr>
            </w:pPr>
            <w:r>
              <w:rPr>
                <w:rFonts w:hint="eastAsia" w:ascii="黑体" w:hAnsi="黑体" w:eastAsia="黑体" w:cs="黑体"/>
                <w:b/>
                <w:sz w:val="28"/>
                <w:szCs w:val="28"/>
              </w:rPr>
              <w:t>二级指标</w:t>
            </w:r>
          </w:p>
        </w:tc>
        <w:tc>
          <w:tcPr>
            <w:tcW w:w="34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黑体" w:hAnsi="黑体" w:eastAsia="黑体" w:cs="黑体"/>
                <w:b/>
                <w:sz w:val="28"/>
                <w:szCs w:val="28"/>
              </w:rPr>
            </w:pPr>
            <w:r>
              <w:rPr>
                <w:rFonts w:hint="eastAsia" w:ascii="黑体" w:hAnsi="黑体" w:eastAsia="黑体" w:cs="黑体"/>
                <w:b/>
                <w:sz w:val="28"/>
                <w:szCs w:val="28"/>
              </w:rPr>
              <w:t>任务要点名称</w:t>
            </w:r>
          </w:p>
        </w:tc>
        <w:tc>
          <w:tcPr>
            <w:tcW w:w="356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黑体" w:hAnsi="黑体" w:eastAsia="黑体" w:cs="黑体"/>
                <w:b/>
                <w:sz w:val="28"/>
                <w:szCs w:val="28"/>
              </w:rPr>
            </w:pPr>
            <w:r>
              <w:rPr>
                <w:rFonts w:hint="eastAsia" w:ascii="黑体" w:hAnsi="黑体" w:eastAsia="黑体" w:cs="黑体"/>
                <w:b/>
                <w:sz w:val="28"/>
                <w:szCs w:val="28"/>
              </w:rPr>
              <w:t>年度目标</w:t>
            </w:r>
          </w:p>
        </w:tc>
        <w:tc>
          <w:tcPr>
            <w:tcW w:w="503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黑体" w:hAnsi="黑体" w:eastAsia="黑体" w:cs="黑体"/>
                <w:b/>
                <w:sz w:val="28"/>
                <w:szCs w:val="28"/>
              </w:rPr>
            </w:pPr>
            <w:r>
              <w:rPr>
                <w:rFonts w:hint="eastAsia" w:ascii="黑体" w:hAnsi="黑体" w:eastAsia="黑体" w:cs="黑体"/>
                <w:b/>
                <w:sz w:val="28"/>
                <w:szCs w:val="28"/>
              </w:rPr>
              <w:t>完成进度情况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1570" w:type="dxa"/>
            <w:vMerge w:val="restart"/>
            <w:tcBorders>
              <w:top w:val="single" w:color="auto" w:sz="4" w:space="0"/>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围绕中心履职尽责（400分）</w:t>
            </w:r>
          </w:p>
        </w:tc>
        <w:tc>
          <w:tcPr>
            <w:tcW w:w="1587" w:type="dxa"/>
            <w:vMerge w:val="restart"/>
            <w:tcBorders>
              <w:top w:val="single" w:color="auto" w:sz="4" w:space="0"/>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重点（职能）工作</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（350分）</w:t>
            </w:r>
          </w:p>
        </w:tc>
        <w:tc>
          <w:tcPr>
            <w:tcW w:w="3480" w:type="dxa"/>
            <w:tcBorders>
              <w:top w:val="single" w:color="auto" w:sz="4" w:space="0"/>
              <w:left w:val="single" w:color="auto" w:sz="4" w:space="0"/>
              <w:bottom w:val="single" w:color="000000"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1.为“工业强市、产业兴市”提供交通基础支撑，贯彻落实普通国省道“路长制”工作。配合“路长制”领导小组落实普通国省道“路长制”相关工作</w:t>
            </w:r>
          </w:p>
        </w:tc>
        <w:tc>
          <w:tcPr>
            <w:tcW w:w="3567" w:type="dxa"/>
            <w:tcBorders>
              <w:top w:val="single" w:color="auto"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公路标志、标识、护栏、警示桩等交通安全设施规范设置、保证位置适当、维护良好、功能发挥正常，缺失、损坏要及时补齐完备。为“工业强市、产业兴市”提供“畅、安、舒、美”的公路通行环境。</w:t>
            </w:r>
          </w:p>
        </w:tc>
        <w:tc>
          <w:tcPr>
            <w:tcW w:w="5033" w:type="dxa"/>
            <w:tcBorders>
              <w:top w:val="single" w:color="auto"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396" w:firstLineChars="20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及时发现及时完备道路标牌护栏无缺失及时发现及时完备；道路标牌护栏无缺失。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570" w:type="dxa"/>
            <w:vMerge w:val="continue"/>
            <w:tcBorders>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szCs w:val="21"/>
              </w:rPr>
            </w:pPr>
          </w:p>
        </w:tc>
        <w:tc>
          <w:tcPr>
            <w:tcW w:w="1587" w:type="dxa"/>
            <w:vMerge w:val="continue"/>
            <w:tcBorders>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szCs w:val="21"/>
              </w:rPr>
            </w:pPr>
          </w:p>
        </w:tc>
        <w:tc>
          <w:tcPr>
            <w:tcW w:w="3480" w:type="dxa"/>
            <w:tcBorders>
              <w:top w:val="single" w:color="auto" w:sz="4" w:space="0"/>
              <w:left w:val="single" w:color="auto" w:sz="4" w:space="0"/>
              <w:bottom w:val="single" w:color="000000"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2.为“工业强市、产业兴市”提供交通基础支撑，配合市公铁中心推进S318郯兰线改建工程。</w:t>
            </w:r>
          </w:p>
        </w:tc>
        <w:tc>
          <w:tcPr>
            <w:tcW w:w="3567" w:type="dxa"/>
            <w:tcBorders>
              <w:top w:val="single" w:color="auto"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配合市中心对施工工地进行巡查，按施工计划积极推进工程建设。</w:t>
            </w:r>
          </w:p>
        </w:tc>
        <w:tc>
          <w:tcPr>
            <w:tcW w:w="5033" w:type="dxa"/>
            <w:tcBorders>
              <w:top w:val="single" w:color="auto" w:sz="4" w:space="0"/>
              <w:left w:val="single" w:color="auto" w:sz="4" w:space="0"/>
              <w:bottom w:val="single" w:color="000000" w:sz="4" w:space="0"/>
              <w:right w:val="single" w:color="auto" w:sz="4" w:space="0"/>
              <w:tl2br w:val="nil"/>
              <w:tr2bl w:val="nil"/>
            </w:tcBorders>
            <w:vAlign w:val="center"/>
          </w:tcPr>
          <w:p>
            <w:pPr>
              <w:ind w:firstLine="396"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配合市中心完成督导工作。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0" w:type="dxa"/>
            <w:vMerge w:val="continue"/>
            <w:tcBorders>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szCs w:val="21"/>
              </w:rPr>
            </w:pPr>
          </w:p>
        </w:tc>
        <w:tc>
          <w:tcPr>
            <w:tcW w:w="1587" w:type="dxa"/>
            <w:vMerge w:val="continue"/>
            <w:tcBorders>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szCs w:val="21"/>
              </w:rPr>
            </w:pPr>
          </w:p>
        </w:tc>
        <w:tc>
          <w:tcPr>
            <w:tcW w:w="3480" w:type="dxa"/>
            <w:tcBorders>
              <w:top w:val="single" w:color="000000" w:sz="4" w:space="0"/>
              <w:left w:val="single" w:color="auto" w:sz="4" w:space="0"/>
              <w:bottom w:val="single" w:color="000000" w:sz="4" w:space="0"/>
              <w:right w:val="single" w:color="auto" w:sz="4" w:space="0"/>
              <w:tl2br w:val="nil"/>
              <w:tr2bl w:val="nil"/>
            </w:tcBorders>
            <w:vAlign w:val="center"/>
          </w:tcPr>
          <w:p>
            <w:pPr>
              <w:spacing w:line="32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3.加强思想能力作风建设，开展“五比五看”活动</w:t>
            </w:r>
          </w:p>
        </w:tc>
        <w:tc>
          <w:tcPr>
            <w:tcW w:w="3567" w:type="dxa"/>
            <w:tcBorders>
              <w:top w:val="single" w:color="000000" w:sz="4" w:space="0"/>
              <w:left w:val="single" w:color="auto" w:sz="4" w:space="0"/>
              <w:bottom w:val="single" w:color="000000" w:sz="4" w:space="0"/>
              <w:right w:val="single" w:color="auto" w:sz="4" w:space="0"/>
              <w:tl2br w:val="nil"/>
              <w:tr2bl w:val="nil"/>
            </w:tcBorders>
            <w:vAlign w:val="center"/>
          </w:tcPr>
          <w:p>
            <w:pPr>
              <w:spacing w:line="32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弘扬“严真细实快”的工作作风，建立差异化考核机制，进一步提升干部思想能力作风建设水平。</w:t>
            </w:r>
          </w:p>
        </w:tc>
        <w:tc>
          <w:tcPr>
            <w:tcW w:w="5033"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firstLine="396"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弘扬“严真细实快”工作作风，制定印发《关于加强思想能力作风建设开展“五比五看”活动的实施方案》，召开专题会议，明确具体措施，排出工作任务排档表，签订《承诺书》，</w:t>
            </w:r>
            <w:r>
              <w:rPr>
                <w:rFonts w:hint="eastAsia" w:ascii="仿宋_GB2312" w:hAnsi="仿宋_GB2312" w:eastAsia="仿宋_GB2312" w:cs="仿宋_GB2312"/>
                <w:color w:val="000000"/>
                <w:sz w:val="21"/>
                <w:szCs w:val="21"/>
                <w:shd w:val="clear" w:color="auto" w:fill="FFFFFF"/>
              </w:rPr>
              <w:t>组织思想能力作风建设专题学习，</w:t>
            </w:r>
            <w:r>
              <w:rPr>
                <w:rFonts w:hint="eastAsia" w:ascii="仿宋_GB2312" w:hAnsi="仿宋_GB2312" w:eastAsia="仿宋_GB2312" w:cs="仿宋_GB2312"/>
                <w:color w:val="000000"/>
                <w:sz w:val="21"/>
                <w:szCs w:val="21"/>
                <w:shd w:val="clear" w:color="auto" w:fill="FFFFFF"/>
                <w:lang w:val="en-US" w:eastAsia="zh-CN"/>
              </w:rPr>
              <w:t>举行</w:t>
            </w:r>
            <w:r>
              <w:rPr>
                <w:rFonts w:hint="eastAsia" w:ascii="仿宋_GB2312" w:hAnsi="仿宋_GB2312" w:eastAsia="仿宋_GB2312" w:cs="仿宋_GB2312"/>
                <w:color w:val="000000"/>
                <w:sz w:val="21"/>
                <w:szCs w:val="21"/>
              </w:rPr>
              <w:t>“阅读新时代 奋斗新征程”暨“书香伴我行”读书分享会，</w:t>
            </w:r>
            <w:r>
              <w:rPr>
                <w:rFonts w:hint="eastAsia" w:ascii="仿宋_GB2312" w:hAnsi="仿宋_GB2312" w:eastAsia="仿宋_GB2312" w:cs="仿宋_GB2312"/>
                <w:color w:val="000000"/>
                <w:sz w:val="21"/>
                <w:szCs w:val="21"/>
                <w:shd w:val="clear" w:color="auto" w:fill="FFFFFF"/>
              </w:rPr>
              <w:t>进行研讨交流，加快青年干部成长步伐。</w:t>
            </w:r>
            <w:r>
              <w:rPr>
                <w:rFonts w:hint="eastAsia" w:ascii="仿宋_GB2312" w:hAnsi="仿宋_GB2312" w:eastAsia="仿宋_GB2312" w:cs="仿宋_GB2312"/>
                <w:sz w:val="21"/>
                <w:szCs w:val="21"/>
                <w:shd w:val="clear" w:color="auto" w:fill="FFFFFF"/>
              </w:rPr>
              <w:t>把加强思想能力作风建设作为一条主线贯穿全年始终，</w:t>
            </w:r>
            <w:r>
              <w:rPr>
                <w:rFonts w:hint="eastAsia" w:ascii="仿宋_GB2312" w:hAnsi="仿宋_GB2312" w:eastAsia="仿宋_GB2312" w:cs="仿宋_GB2312"/>
                <w:color w:val="000000"/>
                <w:sz w:val="21"/>
                <w:szCs w:val="21"/>
                <w:shd w:val="clear" w:color="auto" w:fill="FFFFFF"/>
              </w:rPr>
              <w:t>严肃认真开展</w:t>
            </w:r>
            <w:r>
              <w:rPr>
                <w:rFonts w:hint="eastAsia" w:ascii="仿宋_GB2312" w:hAnsi="仿宋_GB2312" w:eastAsia="仿宋_GB2312" w:cs="仿宋_GB2312"/>
                <w:color w:val="000000"/>
                <w:sz w:val="21"/>
                <w:szCs w:val="21"/>
                <w:shd w:val="clear" w:color="auto" w:fill="FFFFFF"/>
                <w:lang w:val="en-US" w:eastAsia="zh-CN"/>
              </w:rPr>
              <w:t>周汇报、</w:t>
            </w:r>
            <w:r>
              <w:rPr>
                <w:rFonts w:hint="eastAsia" w:ascii="仿宋_GB2312" w:hAnsi="仿宋_GB2312" w:eastAsia="仿宋_GB2312" w:cs="仿宋_GB2312"/>
                <w:color w:val="000000"/>
                <w:sz w:val="21"/>
                <w:szCs w:val="21"/>
                <w:shd w:val="clear" w:color="auto" w:fill="FFFFFF"/>
              </w:rPr>
              <w:t>月调度、季汇总，采取书面交流、定期督导等形式，切实将“五比”落到实际工作中去。</w:t>
            </w:r>
            <w:r>
              <w:rPr>
                <w:rFonts w:hint="eastAsia" w:ascii="仿宋_GB2312" w:hAnsi="仿宋_GB2312" w:eastAsia="仿宋_GB2312" w:cs="仿宋_GB2312"/>
                <w:color w:val="000000"/>
                <w:kern w:val="36"/>
                <w:sz w:val="21"/>
                <w:szCs w:val="21"/>
              </w:rPr>
              <w:t>成立峄城区公路事业发展中心差异化考核工作领导小组，研究制定</w:t>
            </w:r>
            <w:r>
              <w:rPr>
                <w:rFonts w:hint="eastAsia" w:ascii="仿宋_GB2312" w:hAnsi="仿宋_GB2312" w:eastAsia="仿宋_GB2312" w:cs="仿宋_GB2312"/>
                <w:sz w:val="21"/>
                <w:szCs w:val="21"/>
              </w:rPr>
              <w:t>差异化考核工作方案（试行）</w:t>
            </w:r>
            <w:r>
              <w:rPr>
                <w:rFonts w:hint="eastAsia" w:ascii="仿宋_GB2312" w:hAnsi="仿宋_GB2312" w:eastAsia="仿宋_GB2312" w:cs="仿宋_GB2312"/>
                <w:color w:val="000000"/>
                <w:kern w:val="3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570" w:type="dxa"/>
            <w:vMerge w:val="continue"/>
            <w:tcBorders>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szCs w:val="21"/>
              </w:rPr>
            </w:pPr>
          </w:p>
        </w:tc>
        <w:tc>
          <w:tcPr>
            <w:tcW w:w="1587" w:type="dxa"/>
            <w:vMerge w:val="continue"/>
            <w:tcBorders>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szCs w:val="21"/>
              </w:rPr>
            </w:pPr>
          </w:p>
        </w:tc>
        <w:tc>
          <w:tcPr>
            <w:tcW w:w="3480" w:type="dxa"/>
            <w:tcBorders>
              <w:top w:val="single" w:color="000000" w:sz="4" w:space="0"/>
              <w:left w:val="single" w:color="auto" w:sz="4" w:space="0"/>
              <w:bottom w:val="single" w:color="auto" w:sz="4" w:space="0"/>
              <w:right w:val="single" w:color="auto" w:sz="4" w:space="0"/>
              <w:tl2br w:val="nil"/>
              <w:tr2bl w:val="nil"/>
            </w:tcBorders>
            <w:vAlign w:val="center"/>
          </w:tcPr>
          <w:p>
            <w:pPr>
              <w:spacing w:line="32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4.提升巡查质量，做好日常养护巡查工作</w:t>
            </w:r>
          </w:p>
        </w:tc>
        <w:tc>
          <w:tcPr>
            <w:tcW w:w="3567" w:type="dxa"/>
            <w:tcBorders>
              <w:top w:val="single" w:color="000000"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严格执行日常养护巡查制度，巡查主体、频率明确，记录真实完整，处置及时；</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以周巡查记录为评分依据；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3、发现周巡查记录未按制度要求填写，资料存在明显错误的，每处扣1分。</w:t>
            </w:r>
          </w:p>
        </w:tc>
        <w:tc>
          <w:tcPr>
            <w:tcW w:w="5033" w:type="dxa"/>
            <w:tcBorders>
              <w:top w:val="single" w:color="000000" w:sz="4" w:space="0"/>
              <w:left w:val="single" w:color="auto" w:sz="4" w:space="0"/>
              <w:bottom w:val="single" w:color="auto" w:sz="4" w:space="0"/>
              <w:right w:val="single" w:color="auto" w:sz="4" w:space="0"/>
              <w:tl2br w:val="nil"/>
              <w:tr2bl w:val="nil"/>
            </w:tcBorders>
            <w:vAlign w:val="center"/>
          </w:tcPr>
          <w:p>
            <w:pPr>
              <w:widowControl/>
              <w:ind w:firstLine="396" w:firstLineChars="200"/>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配合做好峄城区普通国省道“路长制”管理,规范执行日常养护巡查制度，发现安全隐患及时处置，做好日常养护巡查及周巡查记录。促进路域环境整治进一步提升。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70" w:type="dxa"/>
            <w:vMerge w:val="continue"/>
            <w:tcBorders>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szCs w:val="21"/>
              </w:rPr>
            </w:pPr>
          </w:p>
        </w:tc>
        <w:tc>
          <w:tcPr>
            <w:tcW w:w="1587" w:type="dxa"/>
            <w:vMerge w:val="continue"/>
            <w:tcBorders>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szCs w:val="21"/>
              </w:rPr>
            </w:pPr>
          </w:p>
        </w:tc>
        <w:tc>
          <w:tcPr>
            <w:tcW w:w="3480" w:type="dxa"/>
            <w:tcBorders>
              <w:top w:val="single" w:color="auto" w:sz="4" w:space="0"/>
              <w:left w:val="single" w:color="auto" w:sz="4" w:space="0"/>
              <w:bottom w:val="single" w:color="000000" w:sz="4" w:space="0"/>
              <w:right w:val="single" w:color="auto" w:sz="4" w:space="0"/>
              <w:tl2br w:val="nil"/>
              <w:tr2bl w:val="nil"/>
            </w:tcBorders>
            <w:vAlign w:val="center"/>
          </w:tcPr>
          <w:p>
            <w:pPr>
              <w:spacing w:line="320" w:lineRule="exact"/>
              <w:rPr>
                <w:rFonts w:hint="eastAsia" w:ascii="仿宋_GB2312" w:hAnsi="仿宋_GB2312" w:eastAsia="仿宋_GB2312" w:cs="仿宋_GB2312"/>
                <w:sz w:val="21"/>
                <w:szCs w:val="21"/>
              </w:rPr>
            </w:pPr>
            <w:r>
              <w:rPr>
                <w:rFonts w:hint="eastAsia" w:ascii="仿宋_GB2312" w:hAnsi="仿宋_GB2312" w:eastAsia="仿宋_GB2312" w:cs="仿宋_GB2312"/>
                <w:bCs/>
                <w:color w:val="000000"/>
                <w:kern w:val="0"/>
                <w:sz w:val="21"/>
                <w:szCs w:val="21"/>
              </w:rPr>
              <w:t>5.养护工程实施招标选择施工队伍，不断优化养护管理水平及时组织施工，修补路面病害，确保道路通行安全</w:t>
            </w:r>
          </w:p>
        </w:tc>
        <w:tc>
          <w:tcPr>
            <w:tcW w:w="3567" w:type="dxa"/>
            <w:tcBorders>
              <w:top w:val="single" w:color="auto"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1、对符合招标要求的养护工程严格按照招投标管理实施公开招标：落实到位得5分、不到位得0分；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2、</w:t>
            </w:r>
            <w:r>
              <w:rPr>
                <w:rFonts w:hint="eastAsia" w:ascii="仿宋_GB2312" w:hAnsi="仿宋_GB2312" w:eastAsia="仿宋_GB2312" w:cs="仿宋_GB2312"/>
                <w:color w:val="000000"/>
                <w:spacing w:val="-6"/>
                <w:kern w:val="0"/>
                <w:sz w:val="21"/>
                <w:szCs w:val="21"/>
              </w:rPr>
              <w:t>项目督导巡查：落实到位得5分，不到位得0分；</w:t>
            </w:r>
            <w:r>
              <w:rPr>
                <w:rFonts w:hint="eastAsia" w:ascii="仿宋_GB2312" w:hAnsi="仿宋_GB2312" w:eastAsia="仿宋_GB2312" w:cs="仿宋_GB2312"/>
                <w:color w:val="000000"/>
                <w:kern w:val="0"/>
                <w:sz w:val="21"/>
                <w:szCs w:val="21"/>
              </w:rPr>
              <w:t>3、</w:t>
            </w:r>
            <w:r>
              <w:rPr>
                <w:rFonts w:hint="eastAsia" w:ascii="仿宋_GB2312" w:hAnsi="仿宋_GB2312" w:eastAsia="仿宋_GB2312" w:cs="仿宋_GB2312"/>
                <w:color w:val="000000"/>
                <w:spacing w:val="-6"/>
                <w:kern w:val="0"/>
                <w:sz w:val="21"/>
                <w:szCs w:val="21"/>
              </w:rPr>
              <w:t>竣工资料齐全得10分，一般得5分，较差得1分；</w:t>
            </w:r>
          </w:p>
        </w:tc>
        <w:tc>
          <w:tcPr>
            <w:tcW w:w="5033" w:type="dxa"/>
            <w:tcBorders>
              <w:top w:val="single" w:color="auto" w:sz="4" w:space="0"/>
              <w:left w:val="single" w:color="auto" w:sz="4" w:space="0"/>
              <w:bottom w:val="single" w:color="000000" w:sz="4" w:space="0"/>
              <w:right w:val="single" w:color="auto" w:sz="4" w:space="0"/>
              <w:tl2br w:val="nil"/>
              <w:tr2bl w:val="nil"/>
            </w:tcBorders>
            <w:vAlign w:val="center"/>
          </w:tcPr>
          <w:p>
            <w:pPr>
              <w:ind w:firstLine="396"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委托招标代理公司以竞争性磋商招标方式选择施工及监理队伍，已全部完成对辖区内2022年养护小修工程项目实施。其中完成G206威汕线路面挖补2700余平方米；S231张台线路面挖补4700余平方米；完成S241临徐线路面挖补6000余平方米；S318郯兰线路面挖补600余平方米。共计完成投资190余万元。工程竣工验收资料受到疫情防控影响未完成，计划11月份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570" w:type="dxa"/>
            <w:vMerge w:val="continue"/>
            <w:tcBorders>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szCs w:val="21"/>
              </w:rPr>
            </w:pPr>
          </w:p>
        </w:tc>
        <w:tc>
          <w:tcPr>
            <w:tcW w:w="1587" w:type="dxa"/>
            <w:vMerge w:val="continue"/>
            <w:tcBorders>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szCs w:val="21"/>
              </w:rPr>
            </w:pPr>
          </w:p>
        </w:tc>
        <w:tc>
          <w:tcPr>
            <w:tcW w:w="3480" w:type="dxa"/>
            <w:tcBorders>
              <w:top w:val="single" w:color="000000" w:sz="4" w:space="0"/>
              <w:left w:val="single" w:color="auto" w:sz="4" w:space="0"/>
              <w:bottom w:val="single" w:color="auto" w:sz="4" w:space="0"/>
              <w:right w:val="single" w:color="auto" w:sz="4" w:space="0"/>
              <w:tl2br w:val="nil"/>
              <w:tr2bl w:val="nil"/>
            </w:tcBorders>
            <w:vAlign w:val="center"/>
          </w:tcPr>
          <w:p>
            <w:pPr>
              <w:spacing w:before="156" w:after="156" w:line="320" w:lineRule="exact"/>
              <w:jc w:val="left"/>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6.强化桥梁监管工作，及时修复桥梁病害，做好国省道路况综合评定</w:t>
            </w:r>
          </w:p>
          <w:p>
            <w:pPr>
              <w:spacing w:before="156" w:after="156" w:line="320" w:lineRule="exact"/>
              <w:jc w:val="left"/>
              <w:rPr>
                <w:rFonts w:hint="eastAsia" w:ascii="仿宋_GB2312" w:hAnsi="仿宋_GB2312" w:eastAsia="仿宋_GB2312" w:cs="仿宋_GB2312"/>
                <w:bCs/>
                <w:color w:val="000000"/>
                <w:kern w:val="0"/>
                <w:sz w:val="21"/>
                <w:szCs w:val="21"/>
              </w:rPr>
            </w:pPr>
          </w:p>
          <w:p>
            <w:pPr>
              <w:spacing w:before="156" w:after="156" w:line="320" w:lineRule="exact"/>
              <w:jc w:val="left"/>
              <w:rPr>
                <w:rFonts w:hint="eastAsia" w:ascii="仿宋_GB2312" w:hAnsi="仿宋_GB2312" w:eastAsia="仿宋_GB2312" w:cs="仿宋_GB2312"/>
                <w:bCs/>
                <w:color w:val="000000"/>
                <w:kern w:val="0"/>
                <w:sz w:val="21"/>
                <w:szCs w:val="21"/>
              </w:rPr>
            </w:pPr>
          </w:p>
          <w:p>
            <w:pPr>
              <w:spacing w:before="156" w:after="156" w:line="320" w:lineRule="exact"/>
              <w:jc w:val="left"/>
              <w:rPr>
                <w:rFonts w:hint="eastAsia" w:ascii="仿宋_GB2312" w:hAnsi="仿宋_GB2312" w:eastAsia="仿宋_GB2312" w:cs="仿宋_GB2312"/>
                <w:color w:val="000000"/>
                <w:sz w:val="21"/>
                <w:szCs w:val="21"/>
              </w:rPr>
            </w:pPr>
          </w:p>
        </w:tc>
        <w:tc>
          <w:tcPr>
            <w:tcW w:w="3567" w:type="dxa"/>
            <w:tcBorders>
              <w:top w:val="single" w:color="000000"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桥梁经常检查，每月进行一次，汛期增加检查频率，并于检查结束后，编制经常检查报告。对检查发现的问题及时向上级报告。经常检查频率不符合要求或汛期未增加检查次数的，缺少1次，扣1分；未于检查后编写检查报告，每缺少1次，扣1分。发现重要问题未及时书面报告的，每次扣1分；</w:t>
            </w:r>
          </w:p>
          <w:p>
            <w:pPr>
              <w:keepNext w:val="0"/>
              <w:keepLines w:val="0"/>
              <w:pageBreakBefore w:val="0"/>
              <w:widowControl w:val="0"/>
              <w:numPr>
                <w:ilvl w:val="0"/>
                <w:numId w:val="2"/>
              </w:numPr>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桥梁定期检查，配合市公铁中心和省厅委托的第三方检测单位做好桥梁定期检查，归档相关检查资料。无桥梁定检资料每年度扣2分；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3、认真组织实施市中心下达的桥梁专项维修工程，工程资料齐全、工程质量合格。未组织实施中心下达的桥梁专项维修工程的，每项扣1分。未按规定频率检测或调查、评定结果不准确或无汇总情况报告的，每存在一类问题扣1分。</w:t>
            </w:r>
          </w:p>
        </w:tc>
        <w:tc>
          <w:tcPr>
            <w:tcW w:w="5033" w:type="dxa"/>
            <w:tcBorders>
              <w:top w:val="single" w:color="000000" w:sz="4" w:space="0"/>
              <w:left w:val="single" w:color="auto" w:sz="4" w:space="0"/>
              <w:bottom w:val="single" w:color="auto" w:sz="4" w:space="0"/>
              <w:right w:val="single" w:color="auto" w:sz="4" w:space="0"/>
              <w:tl2br w:val="nil"/>
              <w:tr2bl w:val="nil"/>
            </w:tcBorders>
            <w:vAlign w:val="center"/>
          </w:tcPr>
          <w:p>
            <w:pPr>
              <w:ind w:firstLine="396"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按照规范要求对峄城中心辖区管养桥梁进行经常检查，并做好桥梁经常检查记录与检查报告。做好桥梁定期检查的资料收集整理。年度内未有市中心下达的桥梁专项维修工程。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2" w:hRule="atLeast"/>
        </w:trPr>
        <w:tc>
          <w:tcPr>
            <w:tcW w:w="1570" w:type="dxa"/>
            <w:vMerge w:val="continue"/>
            <w:tcBorders>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szCs w:val="21"/>
              </w:rPr>
            </w:pPr>
          </w:p>
        </w:tc>
        <w:tc>
          <w:tcPr>
            <w:tcW w:w="1587" w:type="dxa"/>
            <w:vMerge w:val="continue"/>
            <w:tcBorders>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szCs w:val="21"/>
              </w:rPr>
            </w:pPr>
          </w:p>
        </w:tc>
        <w:tc>
          <w:tcPr>
            <w:tcW w:w="3480" w:type="dxa"/>
            <w:tcBorders>
              <w:top w:val="single" w:color="auto" w:sz="4" w:space="0"/>
              <w:left w:val="single" w:color="auto" w:sz="4" w:space="0"/>
              <w:bottom w:val="single" w:color="000000" w:sz="4" w:space="0"/>
              <w:right w:val="single" w:color="auto" w:sz="4" w:space="0"/>
              <w:tl2br w:val="nil"/>
              <w:tr2bl w:val="nil"/>
            </w:tcBorders>
            <w:vAlign w:val="center"/>
          </w:tcPr>
          <w:p>
            <w:pPr>
              <w:spacing w:line="32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bCs/>
                <w:color w:val="000000"/>
                <w:kern w:val="0"/>
                <w:sz w:val="21"/>
                <w:szCs w:val="21"/>
              </w:rPr>
              <w:t>7.积极开展道路预防性养护，减缓路面病害发展，降低养护成本</w:t>
            </w:r>
          </w:p>
        </w:tc>
        <w:tc>
          <w:tcPr>
            <w:tcW w:w="3567" w:type="dxa"/>
            <w:tcBorders>
              <w:top w:val="single" w:color="auto" w:sz="4" w:space="0"/>
              <w:left w:val="single" w:color="auto" w:sz="4" w:space="0"/>
              <w:bottom w:val="single" w:color="000000" w:sz="4" w:space="0"/>
              <w:right w:val="single" w:color="auto" w:sz="4" w:space="0"/>
              <w:tl2br w:val="nil"/>
              <w:tr2bl w:val="nil"/>
            </w:tcBorders>
            <w:vAlign w:val="center"/>
          </w:tcPr>
          <w:p>
            <w:pPr>
              <w:spacing w:line="32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认真组织实施市公铁中心下达的预防性养护工程，工程资料齐全、工程质量合格。未组织实施预防性养护工程的，每项扣5分，已完成预防性养护工程、工程资料齐全、效果较好的得10分，效果一般的得5分。</w:t>
            </w:r>
          </w:p>
        </w:tc>
        <w:tc>
          <w:tcPr>
            <w:tcW w:w="5033" w:type="dxa"/>
            <w:tcBorders>
              <w:top w:val="single" w:color="auto" w:sz="4" w:space="0"/>
              <w:left w:val="single" w:color="auto" w:sz="4" w:space="0"/>
              <w:bottom w:val="single" w:color="000000" w:sz="4" w:space="0"/>
              <w:right w:val="single" w:color="auto" w:sz="4" w:space="0"/>
              <w:tl2br w:val="nil"/>
              <w:tr2bl w:val="nil"/>
            </w:tcBorders>
            <w:vAlign w:val="center"/>
          </w:tcPr>
          <w:p>
            <w:pPr>
              <w:ind w:firstLine="396"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认真贯彻落实市公铁中心有关要求，正确把握预防性养护工作内涵，科学制定沥青路面预防性养护技术方案，并做好公路预防性养护总结、评价及后续工作。依据市公铁中心局有关要求及下达的计划，实施峄城中心辖区各线路预防性养护项目。现已完成大部分预防性养护路面灌缝施工项目的实施。受疫情影响,剩余项目计划11月底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0" w:hRule="atLeast"/>
        </w:trPr>
        <w:tc>
          <w:tcPr>
            <w:tcW w:w="1570" w:type="dxa"/>
            <w:vMerge w:val="continue"/>
            <w:tcBorders>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szCs w:val="21"/>
              </w:rPr>
            </w:pPr>
          </w:p>
        </w:tc>
        <w:tc>
          <w:tcPr>
            <w:tcW w:w="1587" w:type="dxa"/>
            <w:vMerge w:val="continue"/>
            <w:tcBorders>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szCs w:val="21"/>
              </w:rPr>
            </w:pPr>
          </w:p>
        </w:tc>
        <w:tc>
          <w:tcPr>
            <w:tcW w:w="3480" w:type="dxa"/>
            <w:tcBorders>
              <w:top w:val="single" w:color="000000" w:sz="4" w:space="0"/>
              <w:left w:val="single" w:color="auto" w:sz="4" w:space="0"/>
              <w:bottom w:val="single" w:color="auto" w:sz="4" w:space="0"/>
              <w:right w:val="single" w:color="auto" w:sz="4" w:space="0"/>
              <w:tl2br w:val="nil"/>
              <w:tr2bl w:val="nil"/>
            </w:tcBorders>
            <w:vAlign w:val="center"/>
          </w:tcPr>
          <w:p>
            <w:pPr>
              <w:spacing w:line="32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bCs/>
                <w:color w:val="000000"/>
                <w:kern w:val="0"/>
                <w:sz w:val="21"/>
                <w:szCs w:val="21"/>
              </w:rPr>
              <w:t>8.做好应急抢通工作</w:t>
            </w:r>
          </w:p>
        </w:tc>
        <w:tc>
          <w:tcPr>
            <w:tcW w:w="3567" w:type="dxa"/>
            <w:tcBorders>
              <w:top w:val="single" w:color="000000" w:sz="4" w:space="0"/>
              <w:left w:val="single" w:color="auto" w:sz="4" w:space="0"/>
              <w:bottom w:val="single" w:color="auto" w:sz="4" w:space="0"/>
              <w:right w:val="single" w:color="auto" w:sz="4" w:space="0"/>
              <w:tl2br w:val="nil"/>
              <w:tr2bl w:val="nil"/>
            </w:tcBorders>
            <w:vAlign w:val="center"/>
          </w:tcPr>
          <w:p>
            <w:pPr>
              <w:numPr>
                <w:ilvl w:val="0"/>
                <w:numId w:val="3"/>
              </w:numPr>
              <w:spacing w:line="320" w:lineRule="exact"/>
              <w:rPr>
                <w:rFonts w:hint="eastAsia" w:ascii="仿宋_GB2312" w:hAnsi="仿宋_GB2312" w:eastAsia="仿宋_GB2312" w:cs="仿宋_GB2312"/>
                <w:bCs/>
                <w:color w:val="000000"/>
                <w:spacing w:val="-6"/>
                <w:kern w:val="0"/>
                <w:sz w:val="21"/>
                <w:szCs w:val="21"/>
              </w:rPr>
            </w:pPr>
            <w:r>
              <w:rPr>
                <w:rFonts w:hint="eastAsia" w:ascii="仿宋_GB2312" w:hAnsi="仿宋_GB2312" w:eastAsia="仿宋_GB2312" w:cs="仿宋_GB2312"/>
                <w:bCs/>
                <w:color w:val="000000"/>
                <w:spacing w:val="-6"/>
                <w:kern w:val="0"/>
                <w:sz w:val="21"/>
                <w:szCs w:val="21"/>
              </w:rPr>
              <w:t>防汛抢险（10分）（1）防汛方案和机制健全，应急保障队伍稳定，预案完善。（5）以正式文件、记录为评分依据；未出台防汛文件，未制定符合本辖区特点的应急预案，每项扣1分；未展开汛前排查并及时进行整治的，扣1分。（2）汛期值班。（5分）是否建立汛期值班表，无扣1分。</w:t>
            </w:r>
          </w:p>
          <w:p>
            <w:pPr>
              <w:spacing w:line="32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bCs/>
                <w:color w:val="000000"/>
                <w:spacing w:val="-6"/>
                <w:kern w:val="0"/>
                <w:sz w:val="21"/>
                <w:szCs w:val="21"/>
              </w:rPr>
              <w:t>2、除雪防滑（10分）（1）应急处置指挥机制健全，应急预案完善。（5分）以正式文件、记录为评分依据；未建立除雪防滑应急处置指挥机制和冬季养护工作方案，扣1分。（2）应急机具、物资储备充足、布局合理，管理到位。（5分）未按照预案或办法要求的种类、数量储备融雪剂、防滑料等材料，扣1分；未按预案或办法要求储</w:t>
            </w:r>
            <w:r>
              <w:rPr>
                <w:rFonts w:hint="eastAsia" w:ascii="仿宋_GB2312" w:hAnsi="仿宋_GB2312" w:eastAsia="仿宋_GB2312" w:cs="仿宋_GB2312"/>
                <w:color w:val="000000"/>
                <w:spacing w:val="-6"/>
                <w:kern w:val="0"/>
                <w:sz w:val="21"/>
                <w:szCs w:val="21"/>
              </w:rPr>
              <w:t>备机具的扣1分。</w:t>
            </w:r>
          </w:p>
        </w:tc>
        <w:tc>
          <w:tcPr>
            <w:tcW w:w="5033" w:type="dxa"/>
            <w:tcBorders>
              <w:top w:val="single" w:color="000000" w:sz="4" w:space="0"/>
              <w:left w:val="single" w:color="auto" w:sz="4" w:space="0"/>
              <w:bottom w:val="single" w:color="auto" w:sz="4" w:space="0"/>
              <w:right w:val="single" w:color="auto" w:sz="4" w:space="0"/>
              <w:tl2br w:val="nil"/>
              <w:tr2bl w:val="nil"/>
            </w:tcBorders>
            <w:vAlign w:val="center"/>
          </w:tcPr>
          <w:p>
            <w:pPr>
              <w:spacing w:line="320" w:lineRule="exact"/>
              <w:ind w:firstLine="372" w:firstLineChars="200"/>
              <w:rPr>
                <w:rFonts w:hint="eastAsia" w:ascii="仿宋_GB2312" w:hAnsi="仿宋_GB2312" w:eastAsia="仿宋_GB2312" w:cs="仿宋_GB2312"/>
                <w:bCs/>
                <w:color w:val="000000"/>
                <w:spacing w:val="-6"/>
                <w:kern w:val="0"/>
                <w:sz w:val="21"/>
                <w:szCs w:val="21"/>
              </w:rPr>
            </w:pPr>
            <w:r>
              <w:rPr>
                <w:rFonts w:hint="eastAsia" w:ascii="仿宋_GB2312" w:hAnsi="仿宋_GB2312" w:eastAsia="仿宋_GB2312" w:cs="仿宋_GB2312"/>
                <w:bCs/>
                <w:color w:val="000000"/>
                <w:spacing w:val="-6"/>
                <w:kern w:val="0"/>
                <w:sz w:val="21"/>
                <w:szCs w:val="21"/>
                <w:lang w:val="en-US" w:eastAsia="zh-CN"/>
              </w:rPr>
              <w:t>1.</w:t>
            </w:r>
            <w:r>
              <w:rPr>
                <w:rFonts w:hint="eastAsia" w:ascii="仿宋_GB2312" w:hAnsi="仿宋_GB2312" w:eastAsia="仿宋_GB2312" w:cs="仿宋_GB2312"/>
                <w:bCs/>
                <w:color w:val="000000"/>
                <w:spacing w:val="-6"/>
                <w:kern w:val="0"/>
                <w:sz w:val="21"/>
                <w:szCs w:val="21"/>
              </w:rPr>
              <w:t>防汛抢险</w:t>
            </w:r>
            <w:r>
              <w:rPr>
                <w:rFonts w:hint="eastAsia" w:ascii="仿宋_GB2312" w:hAnsi="仿宋_GB2312" w:eastAsia="仿宋_GB2312" w:cs="仿宋_GB2312"/>
                <w:bCs/>
                <w:color w:val="000000"/>
                <w:spacing w:val="-6"/>
                <w:kern w:val="0"/>
                <w:sz w:val="21"/>
                <w:szCs w:val="21"/>
                <w:lang w:eastAsia="zh-CN"/>
              </w:rPr>
              <w:t>。</w:t>
            </w:r>
            <w:r>
              <w:rPr>
                <w:rFonts w:hint="eastAsia" w:ascii="仿宋_GB2312" w:hAnsi="仿宋_GB2312" w:eastAsia="仿宋_GB2312" w:cs="仿宋_GB2312"/>
                <w:bCs/>
                <w:color w:val="000000"/>
                <w:spacing w:val="-6"/>
                <w:kern w:val="0"/>
                <w:sz w:val="21"/>
                <w:szCs w:val="21"/>
              </w:rPr>
              <w:t>防汛方案和机制已经健全，应急保障队伍稳定，预案完善。已出台防汛文件，制定符合本辖区特点的应急预案；开展汛前排查并及时进行整治隐患风险点</w:t>
            </w:r>
            <w:r>
              <w:rPr>
                <w:rFonts w:hint="eastAsia" w:ascii="仿宋_GB2312" w:hAnsi="仿宋_GB2312" w:eastAsia="仿宋_GB2312" w:cs="仿宋_GB2312"/>
                <w:bCs/>
                <w:color w:val="000000"/>
                <w:spacing w:val="-6"/>
                <w:kern w:val="0"/>
                <w:sz w:val="21"/>
                <w:szCs w:val="21"/>
                <w:lang w:eastAsia="zh-CN"/>
              </w:rPr>
              <w:t>；</w:t>
            </w:r>
            <w:r>
              <w:rPr>
                <w:rFonts w:hint="eastAsia" w:ascii="仿宋_GB2312" w:hAnsi="仿宋_GB2312" w:eastAsia="仿宋_GB2312" w:cs="仿宋_GB2312"/>
                <w:bCs/>
                <w:color w:val="000000"/>
                <w:spacing w:val="-6"/>
                <w:kern w:val="0"/>
                <w:sz w:val="21"/>
                <w:szCs w:val="21"/>
              </w:rPr>
              <w:t>建立汛期值班表，做好汛期值班。</w:t>
            </w:r>
          </w:p>
          <w:p>
            <w:pPr>
              <w:spacing w:line="320" w:lineRule="exact"/>
              <w:ind w:firstLine="396" w:firstLineChars="200"/>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lang w:val="en-US" w:eastAsia="zh-CN"/>
              </w:rPr>
              <w:t>2.</w:t>
            </w:r>
            <w:r>
              <w:rPr>
                <w:rFonts w:hint="eastAsia" w:ascii="仿宋_GB2312" w:hAnsi="仿宋_GB2312" w:eastAsia="仿宋_GB2312" w:cs="仿宋_GB2312"/>
                <w:bCs/>
                <w:color w:val="000000"/>
                <w:kern w:val="0"/>
                <w:sz w:val="21"/>
                <w:szCs w:val="21"/>
              </w:rPr>
              <w:t>除雪防滑</w:t>
            </w:r>
            <w:r>
              <w:rPr>
                <w:rFonts w:hint="eastAsia" w:ascii="仿宋_GB2312" w:hAnsi="仿宋_GB2312" w:eastAsia="仿宋_GB2312" w:cs="仿宋_GB2312"/>
                <w:bCs/>
                <w:color w:val="000000"/>
                <w:kern w:val="0"/>
                <w:sz w:val="21"/>
                <w:szCs w:val="21"/>
                <w:lang w:eastAsia="zh-CN"/>
              </w:rPr>
              <w:t>。</w:t>
            </w:r>
            <w:r>
              <w:rPr>
                <w:rFonts w:hint="eastAsia" w:ascii="仿宋_GB2312" w:hAnsi="仿宋_GB2312" w:eastAsia="仿宋_GB2312" w:cs="仿宋_GB2312"/>
                <w:bCs/>
                <w:color w:val="000000"/>
                <w:kern w:val="0"/>
                <w:sz w:val="21"/>
                <w:szCs w:val="21"/>
              </w:rPr>
              <w:t>应急处置指挥机制健全，制定了应急预案。建立了除雪防滑应急处置指挥机制和冬季养护工作方案</w:t>
            </w:r>
            <w:r>
              <w:rPr>
                <w:rFonts w:hint="eastAsia" w:ascii="仿宋_GB2312" w:hAnsi="仿宋_GB2312" w:eastAsia="仿宋_GB2312" w:cs="仿宋_GB2312"/>
                <w:bCs/>
                <w:color w:val="000000"/>
                <w:kern w:val="0"/>
                <w:sz w:val="21"/>
                <w:szCs w:val="21"/>
                <w:lang w:eastAsia="zh-CN"/>
              </w:rPr>
              <w:t>；</w:t>
            </w:r>
            <w:r>
              <w:rPr>
                <w:rFonts w:hint="eastAsia" w:ascii="仿宋_GB2312" w:hAnsi="仿宋_GB2312" w:eastAsia="仿宋_GB2312" w:cs="仿宋_GB2312"/>
                <w:bCs/>
                <w:color w:val="000000"/>
                <w:kern w:val="0"/>
                <w:sz w:val="21"/>
                <w:szCs w:val="21"/>
              </w:rPr>
              <w:t>应急机具、物资储备充足、随时可以调用。</w:t>
            </w:r>
          </w:p>
          <w:p>
            <w:pPr>
              <w:ind w:firstLine="396" w:firstLineChars="20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消防演练预案制定完成，计划11月份完成现场消防演练工作</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trPr>
        <w:tc>
          <w:tcPr>
            <w:tcW w:w="1570" w:type="dxa"/>
            <w:vMerge w:val="continue"/>
            <w:tcBorders>
              <w:left w:val="single" w:color="auto" w:sz="4" w:space="0"/>
              <w:right w:val="single" w:color="auto" w:sz="4" w:space="0"/>
            </w:tcBorders>
          </w:tcPr>
          <w:p>
            <w:pPr>
              <w:jc w:val="center"/>
              <w:rPr>
                <w:rFonts w:hint="eastAsia" w:ascii="仿宋_GB2312" w:hAnsi="仿宋_GB2312" w:eastAsia="仿宋_GB2312" w:cs="仿宋_GB2312"/>
                <w:sz w:val="21"/>
                <w:szCs w:val="21"/>
              </w:rPr>
            </w:pPr>
          </w:p>
        </w:tc>
        <w:tc>
          <w:tcPr>
            <w:tcW w:w="1587" w:type="dxa"/>
            <w:vMerge w:val="continue"/>
            <w:tcBorders>
              <w:left w:val="single" w:color="auto" w:sz="4" w:space="0"/>
              <w:right w:val="single" w:color="auto" w:sz="4" w:space="0"/>
            </w:tcBorders>
          </w:tcPr>
          <w:p>
            <w:pPr>
              <w:jc w:val="center"/>
              <w:rPr>
                <w:rFonts w:hint="eastAsia" w:ascii="仿宋_GB2312" w:hAnsi="仿宋_GB2312" w:eastAsia="仿宋_GB2312" w:cs="仿宋_GB2312"/>
                <w:sz w:val="21"/>
                <w:szCs w:val="21"/>
              </w:rPr>
            </w:pPr>
          </w:p>
        </w:tc>
        <w:tc>
          <w:tcPr>
            <w:tcW w:w="3480" w:type="dxa"/>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9.办公文件的收发，上传下达；配合地方政府进行新冠疫情防控工作；退役军人相关事务；受理来信、来电、来访接待工作；撰写领导发言稿、调研报告等各类综合性材料，编写本单位的组织改革及大事记等工作；负责主任办公会决定事项、重点工作落实情况的督导调度；本单位综合协调和后勤保障和工作人员日常工作考勤、请销假管理等工作</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p>
        </w:tc>
        <w:tc>
          <w:tcPr>
            <w:tcW w:w="3567"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落实上级退役军人、信访文件精神，提升安保维稳水平，保持中心维稳形势持续稳定。助中心领导做好办公室职责范围内的各项工作，做好中心后勤保障工作，确保中心工作顺畅运行。</w:t>
            </w:r>
          </w:p>
        </w:tc>
        <w:tc>
          <w:tcPr>
            <w:tcW w:w="5033" w:type="dxa"/>
            <w:vAlign w:val="center"/>
          </w:tcPr>
          <w:p>
            <w:pPr>
              <w:ind w:firstLine="396"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及时处理办公文件的收发，上传下达；积极配合地方政府进行新冠疫情防控工作；做好受理来信、来电、来访接待工作；协助中心领导做好办公室职责范围内的各项工作，保障本单位综合协调和后勤工作顺畅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5" w:hRule="atLeast"/>
        </w:trPr>
        <w:tc>
          <w:tcPr>
            <w:tcW w:w="1570" w:type="dxa"/>
            <w:vMerge w:val="continue"/>
            <w:tcBorders>
              <w:left w:val="single" w:color="auto" w:sz="4" w:space="0"/>
              <w:right w:val="single" w:color="auto" w:sz="4" w:space="0"/>
            </w:tcBorders>
          </w:tcPr>
          <w:p>
            <w:pPr>
              <w:jc w:val="center"/>
              <w:rPr>
                <w:rFonts w:hint="eastAsia" w:ascii="仿宋_GB2312" w:hAnsi="仿宋_GB2312" w:eastAsia="仿宋_GB2312" w:cs="仿宋_GB2312"/>
                <w:sz w:val="21"/>
                <w:szCs w:val="21"/>
              </w:rPr>
            </w:pPr>
          </w:p>
        </w:tc>
        <w:tc>
          <w:tcPr>
            <w:tcW w:w="1587" w:type="dxa"/>
            <w:vMerge w:val="continue"/>
            <w:tcBorders>
              <w:left w:val="single" w:color="auto" w:sz="4" w:space="0"/>
              <w:right w:val="single" w:color="auto" w:sz="4" w:space="0"/>
            </w:tcBorders>
          </w:tcPr>
          <w:p>
            <w:pPr>
              <w:jc w:val="center"/>
              <w:rPr>
                <w:rFonts w:hint="eastAsia" w:ascii="仿宋_GB2312" w:hAnsi="仿宋_GB2312" w:eastAsia="仿宋_GB2312" w:cs="仿宋_GB2312"/>
                <w:sz w:val="21"/>
                <w:szCs w:val="21"/>
              </w:rPr>
            </w:pPr>
          </w:p>
        </w:tc>
        <w:tc>
          <w:tcPr>
            <w:tcW w:w="3480" w:type="dxa"/>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2"/>
                <w:sz w:val="21"/>
                <w:szCs w:val="21"/>
                <w:lang w:eastAsia="zh-CN"/>
              </w:rPr>
            </w:pPr>
            <w:r>
              <w:rPr>
                <w:rFonts w:hint="eastAsia" w:ascii="仿宋_GB2312" w:hAnsi="仿宋_GB2312" w:eastAsia="仿宋_GB2312" w:cs="仿宋_GB2312"/>
                <w:sz w:val="21"/>
                <w:szCs w:val="21"/>
                <w:lang w:eastAsia="zh-CN"/>
              </w:rPr>
              <w:t>10.加强政治思想建设、机构编制、人员调配、干部任免、重要人事工作文件制定、人事档案管理、工作人员事业单位年度考核；落实党风廉政建设和反腐败工作</w:t>
            </w:r>
            <w:r>
              <w:rPr>
                <w:rFonts w:hint="eastAsia" w:ascii="仿宋_GB2312" w:hAnsi="仿宋_GB2312" w:eastAsia="仿宋_GB2312" w:cs="仿宋_GB2312"/>
                <w:sz w:val="21"/>
                <w:szCs w:val="21"/>
                <w:lang w:val="en" w:eastAsia="zh-CN"/>
              </w:rPr>
              <w:t>;</w:t>
            </w:r>
            <w:r>
              <w:rPr>
                <w:rFonts w:hint="eastAsia" w:ascii="仿宋_GB2312" w:hAnsi="仿宋_GB2312" w:eastAsia="仿宋_GB2312" w:cs="仿宋_GB2312"/>
                <w:sz w:val="21"/>
                <w:szCs w:val="21"/>
                <w:lang w:eastAsia="zh-CN"/>
              </w:rPr>
              <w:t>.负责职工遵纪守法、党风廉政、政风行风教育工作；退休干部政策待遇落实及服务保障工作；</w:t>
            </w:r>
            <w:r>
              <w:rPr>
                <w:rStyle w:val="16"/>
                <w:rFonts w:hint="eastAsia" w:ascii="仿宋_GB2312" w:hAnsi="仿宋_GB2312" w:eastAsia="仿宋_GB2312" w:cs="仿宋_GB2312"/>
                <w:kern w:val="0"/>
                <w:sz w:val="21"/>
                <w:szCs w:val="21"/>
              </w:rPr>
              <w:t>做好工会日常工作职能,组织职工健康查体、按时收缴会费及发放职工福利等工作。</w:t>
            </w:r>
          </w:p>
        </w:tc>
        <w:tc>
          <w:tcPr>
            <w:tcW w:w="3567" w:type="dxa"/>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pacing w:val="-6"/>
                <w:sz w:val="21"/>
                <w:szCs w:val="21"/>
                <w:lang w:eastAsia="zh-CN"/>
              </w:rPr>
            </w:pPr>
            <w:r>
              <w:rPr>
                <w:rFonts w:hint="eastAsia" w:ascii="仿宋_GB2312" w:hAnsi="仿宋_GB2312" w:eastAsia="仿宋_GB2312" w:cs="仿宋_GB2312"/>
                <w:spacing w:val="-6"/>
                <w:sz w:val="21"/>
                <w:szCs w:val="21"/>
                <w:lang w:eastAsia="zh-CN"/>
              </w:rPr>
              <w:t>及时、规范制定相关文件，保障政令畅通；严格考核规定，实事求是，不断提高考核工作整体效能；通过廉政教育工作，营造风清气正的政治生态；及时落实退休干部相关待遇，做好服务保障工作</w:t>
            </w:r>
            <w:r>
              <w:rPr>
                <w:rFonts w:hint="eastAsia" w:ascii="仿宋_GB2312" w:hAnsi="仿宋_GB2312" w:eastAsia="仿宋_GB2312" w:cs="仿宋_GB2312"/>
                <w:color w:val="000000"/>
                <w:spacing w:val="-6"/>
                <w:sz w:val="21"/>
                <w:szCs w:val="21"/>
                <w:lang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0"/>
                <w:sz w:val="21"/>
                <w:szCs w:val="21"/>
              </w:rPr>
            </w:pPr>
          </w:p>
        </w:tc>
        <w:tc>
          <w:tcPr>
            <w:tcW w:w="5033" w:type="dxa"/>
            <w:vAlign w:val="center"/>
          </w:tcPr>
          <w:p>
            <w:pPr>
              <w:pStyle w:val="9"/>
              <w:tabs>
                <w:tab w:val="center" w:pos="4422"/>
              </w:tabs>
              <w:spacing w:line="300" w:lineRule="exact"/>
              <w:ind w:firstLine="396"/>
              <w:rPr>
                <w:rFonts w:hint="eastAsia" w:ascii="仿宋_GB2312" w:hAnsi="仿宋_GB2312" w:eastAsia="仿宋_GB2312" w:cs="仿宋_GB2312"/>
                <w:spacing w:val="0"/>
                <w:sz w:val="21"/>
                <w:szCs w:val="21"/>
              </w:rPr>
            </w:pPr>
            <w:r>
              <w:rPr>
                <w:rFonts w:hint="eastAsia" w:ascii="仿宋_GB2312" w:hAnsi="仿宋_GB2312" w:eastAsia="仿宋_GB2312" w:cs="仿宋_GB2312"/>
                <w:color w:val="000000"/>
                <w:spacing w:val="0"/>
                <w:sz w:val="21"/>
                <w:szCs w:val="21"/>
                <w:shd w:val="clear" w:color="auto" w:fill="FFFFFF"/>
              </w:rPr>
              <w:t>根据工作需要，对人员任免和调整情况及时制定规范文件并下发。成立本单位</w:t>
            </w:r>
            <w:r>
              <w:rPr>
                <w:rFonts w:hint="eastAsia" w:ascii="仿宋_GB2312" w:hAnsi="仿宋_GB2312" w:eastAsia="仿宋_GB2312" w:cs="仿宋_GB2312"/>
                <w:color w:val="000000"/>
                <w:spacing w:val="0"/>
                <w:kern w:val="36"/>
                <w:sz w:val="21"/>
                <w:szCs w:val="21"/>
              </w:rPr>
              <w:t>年度考核工作领导小组，</w:t>
            </w:r>
            <w:r>
              <w:rPr>
                <w:rFonts w:hint="eastAsia" w:ascii="仿宋_GB2312" w:hAnsi="仿宋_GB2312" w:eastAsia="仿宋_GB2312" w:cs="仿宋_GB2312"/>
                <w:color w:val="000000"/>
                <w:spacing w:val="0"/>
                <w:sz w:val="21"/>
                <w:szCs w:val="21"/>
                <w:shd w:val="clear" w:color="auto" w:fill="FFFFFF"/>
              </w:rPr>
              <w:t>组织开展2021</w:t>
            </w:r>
            <w:r>
              <w:rPr>
                <w:rFonts w:hint="eastAsia" w:ascii="仿宋_GB2312" w:hAnsi="仿宋_GB2312" w:eastAsia="仿宋_GB2312" w:cs="仿宋_GB2312"/>
                <w:color w:val="000000"/>
                <w:spacing w:val="0"/>
                <w:kern w:val="36"/>
                <w:sz w:val="21"/>
                <w:szCs w:val="21"/>
              </w:rPr>
              <w:t>年度考核工作，对考核结果进行公示，并对考核材料进行整理上报</w:t>
            </w:r>
            <w:r>
              <w:rPr>
                <w:rFonts w:hint="eastAsia" w:ascii="仿宋_GB2312" w:hAnsi="仿宋_GB2312" w:eastAsia="仿宋_GB2312" w:cs="仿宋_GB2312"/>
                <w:color w:val="000000"/>
                <w:spacing w:val="0"/>
                <w:kern w:val="36"/>
                <w:sz w:val="21"/>
                <w:szCs w:val="21"/>
                <w:lang w:eastAsia="zh-CN"/>
              </w:rPr>
              <w:t>。</w:t>
            </w:r>
            <w:r>
              <w:rPr>
                <w:rFonts w:hint="eastAsia" w:ascii="仿宋_GB2312" w:hAnsi="仿宋_GB2312" w:eastAsia="仿宋_GB2312" w:cs="仿宋_GB2312"/>
                <w:spacing w:val="0"/>
                <w:sz w:val="21"/>
                <w:szCs w:val="21"/>
              </w:rPr>
              <w:t>深化作风建设，强化工作纪律</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rPr>
              <w:t>召开了2022年党风廉政建设工作会议，层层签订了责任书，开展廉政提醒谈话，制定廉政风险防控方案，加大党内监督力度，督促党员认真学习、严格遵守党内法规。</w:t>
            </w:r>
            <w:r>
              <w:rPr>
                <w:rFonts w:hint="eastAsia" w:ascii="仿宋_GB2312" w:hAnsi="仿宋_GB2312" w:eastAsia="仿宋_GB2312" w:cs="仿宋_GB2312"/>
                <w:color w:val="000000"/>
                <w:spacing w:val="0"/>
                <w:sz w:val="21"/>
                <w:szCs w:val="21"/>
              </w:rPr>
              <w:t>组织全体职工进行健康体检，做好节日走访慰问工作</w:t>
            </w:r>
            <w:r>
              <w:rPr>
                <w:rFonts w:hint="eastAsia" w:ascii="仿宋_GB2312" w:hAnsi="仿宋_GB2312" w:eastAsia="仿宋_GB2312" w:cs="仿宋_GB2312"/>
                <w:color w:val="000000"/>
                <w:spacing w:val="0"/>
                <w:sz w:val="21"/>
                <w:szCs w:val="21"/>
                <w:lang w:eastAsia="zh-CN"/>
              </w:rPr>
              <w:t>，</w:t>
            </w:r>
            <w:r>
              <w:rPr>
                <w:rFonts w:hint="eastAsia" w:ascii="仿宋_GB2312" w:hAnsi="仿宋_GB2312" w:eastAsia="仿宋_GB2312" w:cs="仿宋_GB2312"/>
                <w:spacing w:val="0"/>
                <w:sz w:val="21"/>
                <w:szCs w:val="21"/>
              </w:rPr>
              <w:t>及时调整发放离退休人员遗属工资</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color w:val="000000"/>
                <w:spacing w:val="0"/>
                <w:sz w:val="21"/>
                <w:szCs w:val="21"/>
              </w:rPr>
              <w:t>做好本年度两次工会费收缴工作，并足额上交。</w:t>
            </w:r>
          </w:p>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1570" w:type="dxa"/>
            <w:vMerge w:val="continue"/>
            <w:tcBorders>
              <w:left w:val="single" w:color="auto" w:sz="4" w:space="0"/>
              <w:right w:val="single" w:color="auto" w:sz="4" w:space="0"/>
            </w:tcBorders>
          </w:tcPr>
          <w:p>
            <w:pPr>
              <w:jc w:val="center"/>
              <w:rPr>
                <w:rFonts w:hint="eastAsia" w:ascii="仿宋_GB2312" w:hAnsi="仿宋_GB2312" w:eastAsia="仿宋_GB2312" w:cs="仿宋_GB2312"/>
                <w:sz w:val="21"/>
                <w:szCs w:val="21"/>
              </w:rPr>
            </w:pPr>
          </w:p>
        </w:tc>
        <w:tc>
          <w:tcPr>
            <w:tcW w:w="1587" w:type="dxa"/>
            <w:vMerge w:val="continue"/>
            <w:tcBorders>
              <w:left w:val="single" w:color="auto" w:sz="4" w:space="0"/>
              <w:right w:val="single" w:color="auto" w:sz="4" w:space="0"/>
            </w:tcBorders>
          </w:tcPr>
          <w:p>
            <w:pPr>
              <w:jc w:val="center"/>
              <w:rPr>
                <w:rFonts w:hint="eastAsia" w:ascii="仿宋_GB2312" w:hAnsi="仿宋_GB2312" w:eastAsia="仿宋_GB2312" w:cs="仿宋_GB2312"/>
                <w:sz w:val="21"/>
                <w:szCs w:val="21"/>
              </w:rPr>
            </w:pPr>
          </w:p>
        </w:tc>
        <w:tc>
          <w:tcPr>
            <w:tcW w:w="348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11.加强安全工作，抓安全责任落实，建立全员安全生产责任制；开展安全生产督导检查及督促隐患整改落实；开展安全生产教育培训；加强应急能力建设等工作。</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1"/>
                <w:szCs w:val="21"/>
                <w:lang w:bidi="ar"/>
              </w:rPr>
            </w:pPr>
          </w:p>
        </w:tc>
        <w:tc>
          <w:tcPr>
            <w:tcW w:w="3567"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pacing w:val="-11"/>
                <w:kern w:val="0"/>
                <w:sz w:val="21"/>
                <w:szCs w:val="21"/>
                <w:lang w:bidi="ar"/>
              </w:rPr>
            </w:pPr>
            <w:r>
              <w:rPr>
                <w:rFonts w:hint="eastAsia" w:ascii="仿宋_GB2312" w:hAnsi="仿宋_GB2312" w:eastAsia="仿宋_GB2312" w:cs="仿宋_GB2312"/>
                <w:spacing w:val="-11"/>
                <w:sz w:val="21"/>
                <w:szCs w:val="21"/>
              </w:rPr>
              <w:t>落实上级安全生产决策部署，提升本质安全水平，保持中心安全形势持续稳定；确保机械设备、专用车辆技术状况良好，保证中心公路养护、保洁等工作需要。</w:t>
            </w:r>
          </w:p>
        </w:tc>
        <w:tc>
          <w:tcPr>
            <w:tcW w:w="5033" w:type="dxa"/>
            <w:vAlign w:val="center"/>
          </w:tcPr>
          <w:p>
            <w:pPr>
              <w:ind w:firstLine="396"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完成各项安全生产布署，保证机械设备、专用车辆状况良好，保证公路养护、保洁需要。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1570" w:type="dxa"/>
            <w:vMerge w:val="continue"/>
            <w:tcBorders>
              <w:left w:val="single" w:color="auto" w:sz="4" w:space="0"/>
              <w:right w:val="single" w:color="auto" w:sz="4" w:space="0"/>
            </w:tcBorders>
          </w:tcPr>
          <w:p>
            <w:pPr>
              <w:jc w:val="center"/>
              <w:rPr>
                <w:rFonts w:hint="eastAsia" w:ascii="仿宋_GB2312" w:hAnsi="仿宋_GB2312" w:eastAsia="仿宋_GB2312" w:cs="仿宋_GB2312"/>
                <w:sz w:val="21"/>
                <w:szCs w:val="21"/>
              </w:rPr>
            </w:pPr>
          </w:p>
        </w:tc>
        <w:tc>
          <w:tcPr>
            <w:tcW w:w="1587" w:type="dxa"/>
            <w:vMerge w:val="continue"/>
            <w:tcBorders>
              <w:left w:val="single" w:color="auto" w:sz="4" w:space="0"/>
              <w:right w:val="single" w:color="auto" w:sz="4" w:space="0"/>
            </w:tcBorders>
          </w:tcPr>
          <w:p>
            <w:pPr>
              <w:jc w:val="center"/>
              <w:rPr>
                <w:rFonts w:hint="eastAsia" w:ascii="仿宋_GB2312" w:hAnsi="仿宋_GB2312" w:eastAsia="仿宋_GB2312" w:cs="仿宋_GB2312"/>
                <w:sz w:val="21"/>
                <w:szCs w:val="21"/>
              </w:rPr>
            </w:pPr>
          </w:p>
        </w:tc>
        <w:tc>
          <w:tcPr>
            <w:tcW w:w="3480" w:type="dxa"/>
            <w:vAlign w:val="center"/>
          </w:tcPr>
          <w:p>
            <w:pPr>
              <w:pStyle w:val="14"/>
              <w:autoSpaceDE/>
              <w:autoSpaceDN/>
              <w:spacing w:line="32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z w:val="21"/>
                <w:szCs w:val="21"/>
                <w:lang w:eastAsia="zh-CN" w:bidi="ar"/>
              </w:rPr>
              <w:t>12.负责做好财务预、决算编制工作。负责单位固定资产的财务管理工作，配合做好固定资产清查工作</w:t>
            </w:r>
          </w:p>
          <w:p>
            <w:pPr>
              <w:widowControl/>
              <w:spacing w:line="320" w:lineRule="exact"/>
              <w:jc w:val="left"/>
              <w:textAlignment w:val="center"/>
              <w:rPr>
                <w:rFonts w:hint="eastAsia" w:ascii="仿宋_GB2312" w:hAnsi="仿宋_GB2312" w:eastAsia="仿宋_GB2312" w:cs="仿宋_GB2312"/>
                <w:sz w:val="21"/>
                <w:szCs w:val="21"/>
              </w:rPr>
            </w:pPr>
          </w:p>
        </w:tc>
        <w:tc>
          <w:tcPr>
            <w:tcW w:w="3567" w:type="dxa"/>
            <w:vAlign w:val="center"/>
          </w:tcPr>
          <w:p>
            <w:pPr>
              <w:widowControl/>
              <w:spacing w:line="32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会计凭证填制符合会计制度和标准化管理要求。按规定设置使用会计科目。按时编制预算和各种财务决算。做好固定资产的清查工作。</w:t>
            </w:r>
          </w:p>
        </w:tc>
        <w:tc>
          <w:tcPr>
            <w:tcW w:w="5033" w:type="dxa"/>
            <w:vAlign w:val="center"/>
          </w:tcPr>
          <w:p>
            <w:pPr>
              <w:ind w:firstLine="396"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标准化制度已完成。年度预算已编制完成。固定资产清查完成，增、减资正在进行审批。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1570" w:type="dxa"/>
            <w:vMerge w:val="continue"/>
            <w:tcBorders>
              <w:left w:val="single" w:color="auto" w:sz="4" w:space="0"/>
              <w:right w:val="single" w:color="auto" w:sz="4" w:space="0"/>
            </w:tcBorders>
          </w:tcPr>
          <w:p>
            <w:pPr>
              <w:jc w:val="center"/>
              <w:rPr>
                <w:rFonts w:hint="eastAsia" w:ascii="仿宋_GB2312" w:hAnsi="仿宋_GB2312" w:eastAsia="仿宋_GB2312" w:cs="仿宋_GB2312"/>
                <w:sz w:val="21"/>
                <w:szCs w:val="21"/>
              </w:rPr>
            </w:pPr>
          </w:p>
        </w:tc>
        <w:tc>
          <w:tcPr>
            <w:tcW w:w="1587" w:type="dxa"/>
            <w:vMerge w:val="continue"/>
            <w:tcBorders>
              <w:left w:val="single" w:color="auto" w:sz="4" w:space="0"/>
              <w:right w:val="single" w:color="auto" w:sz="4" w:space="0"/>
            </w:tcBorders>
          </w:tcPr>
          <w:p>
            <w:pPr>
              <w:jc w:val="center"/>
              <w:rPr>
                <w:rFonts w:hint="eastAsia" w:ascii="仿宋_GB2312" w:hAnsi="仿宋_GB2312" w:eastAsia="仿宋_GB2312" w:cs="仿宋_GB2312"/>
                <w:sz w:val="21"/>
                <w:szCs w:val="21"/>
              </w:rPr>
            </w:pPr>
          </w:p>
        </w:tc>
        <w:tc>
          <w:tcPr>
            <w:tcW w:w="3480" w:type="dxa"/>
            <w:vAlign w:val="center"/>
          </w:tcPr>
          <w:p>
            <w:pPr>
              <w:widowControl/>
              <w:spacing w:line="32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13.编制建议计划、统计年报，开展交通量调查</w:t>
            </w:r>
          </w:p>
        </w:tc>
        <w:tc>
          <w:tcPr>
            <w:tcW w:w="3567" w:type="dxa"/>
            <w:vAlign w:val="center"/>
          </w:tcPr>
          <w:p>
            <w:pPr>
              <w:widowControl/>
              <w:spacing w:line="32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省、市有关规定，严格按照资金使用范围和程序做好日常养护管理年度计划编制上报工作；及时将市中心下达的日常养护管理年度计划分解下达并实施，统计资料整理准确、及时、全面，按规定时间分析上报、归档。</w:t>
            </w:r>
          </w:p>
        </w:tc>
        <w:tc>
          <w:tcPr>
            <w:tcW w:w="503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
              </w:rPr>
              <w:t>截止10月底</w:t>
            </w:r>
            <w:r>
              <w:rPr>
                <w:rFonts w:hint="eastAsia" w:ascii="仿宋_GB2312" w:hAnsi="仿宋_GB2312" w:eastAsia="仿宋_GB2312" w:cs="仿宋_GB2312"/>
                <w:sz w:val="21"/>
                <w:szCs w:val="21"/>
                <w:lang w:val="en" w:eastAsia="zh-CN"/>
              </w:rPr>
              <w:t>，</w:t>
            </w:r>
            <w:r>
              <w:rPr>
                <w:rFonts w:hint="eastAsia" w:ascii="仿宋_GB2312" w:hAnsi="仿宋_GB2312" w:eastAsia="仿宋_GB2312" w:cs="仿宋_GB2312"/>
                <w:sz w:val="21"/>
                <w:szCs w:val="21"/>
                <w:lang w:val="en"/>
              </w:rPr>
              <w:t>已完成工作量的</w:t>
            </w:r>
            <w:r>
              <w:rPr>
                <w:rFonts w:hint="eastAsia" w:ascii="仿宋_GB2312" w:hAnsi="仿宋_GB2312" w:eastAsia="仿宋_GB2312" w:cs="仿宋_GB2312"/>
                <w:sz w:val="21"/>
                <w:szCs w:val="21"/>
              </w:rPr>
              <w:t>80%</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trPr>
        <w:tc>
          <w:tcPr>
            <w:tcW w:w="1570" w:type="dxa"/>
            <w:vMerge w:val="continue"/>
            <w:tcBorders>
              <w:left w:val="single" w:color="auto" w:sz="4" w:space="0"/>
              <w:right w:val="single" w:color="auto" w:sz="4" w:space="0"/>
            </w:tcBorders>
          </w:tcPr>
          <w:p>
            <w:pPr>
              <w:jc w:val="center"/>
              <w:rPr>
                <w:rFonts w:hint="eastAsia" w:ascii="仿宋_GB2312" w:hAnsi="仿宋_GB2312" w:eastAsia="仿宋_GB2312" w:cs="仿宋_GB2312"/>
                <w:sz w:val="21"/>
                <w:szCs w:val="21"/>
              </w:rPr>
            </w:pPr>
          </w:p>
        </w:tc>
        <w:tc>
          <w:tcPr>
            <w:tcW w:w="1587" w:type="dxa"/>
            <w:vMerge w:val="continue"/>
            <w:tcBorders>
              <w:left w:val="single" w:color="auto" w:sz="4" w:space="0"/>
              <w:right w:val="single" w:color="auto" w:sz="4" w:space="0"/>
            </w:tcBorders>
          </w:tcPr>
          <w:p>
            <w:pPr>
              <w:jc w:val="center"/>
              <w:rPr>
                <w:rFonts w:hint="eastAsia" w:ascii="仿宋_GB2312" w:hAnsi="仿宋_GB2312" w:eastAsia="仿宋_GB2312" w:cs="仿宋_GB2312"/>
                <w:sz w:val="21"/>
                <w:szCs w:val="21"/>
              </w:rPr>
            </w:pPr>
          </w:p>
        </w:tc>
        <w:tc>
          <w:tcPr>
            <w:tcW w:w="3480" w:type="dxa"/>
            <w:vAlign w:val="center"/>
          </w:tcPr>
          <w:p>
            <w:pPr>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14.理论创新技术创新</w:t>
            </w:r>
          </w:p>
        </w:tc>
        <w:tc>
          <w:tcPr>
            <w:tcW w:w="3567" w:type="dxa"/>
            <w:vAlign w:val="center"/>
          </w:tcPr>
          <w:p>
            <w:pPr>
              <w:spacing w:line="320" w:lineRule="exact"/>
              <w:rPr>
                <w:rFonts w:hint="eastAsia" w:ascii="仿宋_GB2312" w:hAnsi="仿宋_GB2312" w:eastAsia="仿宋_GB2312" w:cs="仿宋_GB2312"/>
                <w:color w:val="000000"/>
                <w:spacing w:val="-11"/>
                <w:kern w:val="0"/>
                <w:sz w:val="21"/>
                <w:szCs w:val="21"/>
              </w:rPr>
            </w:pPr>
            <w:r>
              <w:rPr>
                <w:rFonts w:hint="eastAsia" w:ascii="仿宋_GB2312" w:hAnsi="仿宋_GB2312" w:eastAsia="仿宋_GB2312" w:cs="仿宋_GB2312"/>
                <w:color w:val="000000"/>
                <w:kern w:val="0"/>
                <w:sz w:val="21"/>
                <w:szCs w:val="21"/>
              </w:rPr>
              <w:t>1</w:t>
            </w:r>
            <w:r>
              <w:rPr>
                <w:rFonts w:hint="eastAsia" w:ascii="仿宋_GB2312" w:hAnsi="仿宋_GB2312" w:eastAsia="仿宋_GB2312" w:cs="仿宋_GB2312"/>
                <w:color w:val="000000"/>
                <w:spacing w:val="-11"/>
                <w:kern w:val="0"/>
                <w:sz w:val="21"/>
                <w:szCs w:val="21"/>
              </w:rPr>
              <w:t>.分主题在办公楼层开展文化宣传，进行警示教育，提升中心文明单位宣传氛围；</w:t>
            </w:r>
          </w:p>
          <w:p>
            <w:pPr>
              <w:spacing w:line="32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2.服务区采取外包形式，既节约中心资金又拓宽服务区服务功能；</w:t>
            </w:r>
          </w:p>
          <w:p>
            <w:pPr>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3.养护工程调整路面结构配比，通过提高骨料嵌挤提高挖补强度。</w:t>
            </w:r>
          </w:p>
        </w:tc>
        <w:tc>
          <w:tcPr>
            <w:tcW w:w="5033"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396"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分楼层进行安全、廉政、文明主题宣传，在一楼、二楼电子屏进行主题宣传。服务区外包，满足六大基本功能。养护工程局部使用SMA结构，提高完成强度。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1570" w:type="dxa"/>
            <w:vMerge w:val="continue"/>
            <w:tcBorders>
              <w:left w:val="single" w:color="auto" w:sz="4" w:space="0"/>
              <w:right w:val="single" w:color="auto" w:sz="4" w:space="0"/>
            </w:tcBorders>
          </w:tcPr>
          <w:p>
            <w:pPr>
              <w:jc w:val="center"/>
              <w:rPr>
                <w:rFonts w:hint="eastAsia" w:ascii="仿宋_GB2312" w:hAnsi="仿宋_GB2312" w:eastAsia="仿宋_GB2312" w:cs="仿宋_GB2312"/>
                <w:sz w:val="21"/>
                <w:szCs w:val="21"/>
              </w:rPr>
            </w:pPr>
          </w:p>
        </w:tc>
        <w:tc>
          <w:tcPr>
            <w:tcW w:w="1587" w:type="dxa"/>
            <w:vMerge w:val="continue"/>
            <w:tcBorders>
              <w:left w:val="single" w:color="auto" w:sz="4" w:space="0"/>
              <w:right w:val="single" w:color="auto" w:sz="4" w:space="0"/>
            </w:tcBorders>
          </w:tcPr>
          <w:p>
            <w:pPr>
              <w:jc w:val="center"/>
              <w:rPr>
                <w:rFonts w:hint="eastAsia" w:ascii="仿宋_GB2312" w:hAnsi="仿宋_GB2312" w:eastAsia="仿宋_GB2312" w:cs="仿宋_GB2312"/>
                <w:sz w:val="21"/>
                <w:szCs w:val="21"/>
              </w:rPr>
            </w:pPr>
          </w:p>
        </w:tc>
        <w:tc>
          <w:tcPr>
            <w:tcW w:w="3480" w:type="dxa"/>
            <w:vAlign w:val="center"/>
          </w:tcPr>
          <w:p>
            <w:pPr>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15.管理创新服务创新</w:t>
            </w:r>
          </w:p>
        </w:tc>
        <w:tc>
          <w:tcPr>
            <w:tcW w:w="3567" w:type="dxa"/>
            <w:vAlign w:val="center"/>
          </w:tcPr>
          <w:p>
            <w:pPr>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1.新建肖桥公路站从工程建设到电器原件采取三方会审制度，保证原材料成品质量；</w:t>
            </w:r>
          </w:p>
          <w:p>
            <w:pPr>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2.挖补工程采取施工、监理一体化招标，保证施工质量实时受控；</w:t>
            </w:r>
          </w:p>
          <w:p>
            <w:pPr>
              <w:spacing w:line="320" w:lineRule="exact"/>
              <w:rPr>
                <w:rFonts w:hint="eastAsia" w:ascii="仿宋_GB2312" w:hAnsi="仿宋_GB2312" w:eastAsia="仿宋_GB2312" w:cs="仿宋_GB2312"/>
                <w:color w:val="000000"/>
                <w:spacing w:val="-11"/>
                <w:kern w:val="0"/>
                <w:sz w:val="21"/>
                <w:szCs w:val="21"/>
              </w:rPr>
            </w:pPr>
            <w:r>
              <w:rPr>
                <w:rFonts w:hint="eastAsia" w:ascii="仿宋_GB2312" w:hAnsi="仿宋_GB2312" w:eastAsia="仿宋_GB2312" w:cs="仿宋_GB2312"/>
                <w:color w:val="000000"/>
                <w:spacing w:val="-11"/>
                <w:kern w:val="0"/>
                <w:sz w:val="21"/>
                <w:szCs w:val="21"/>
              </w:rPr>
              <w:t>3.按照路长制分工，优化国省道服务功能；</w:t>
            </w:r>
          </w:p>
          <w:p>
            <w:pPr>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4.开展我为群众办实事活动，解决道路存在问题。</w:t>
            </w:r>
          </w:p>
        </w:tc>
        <w:tc>
          <w:tcPr>
            <w:tcW w:w="5033"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396"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肖桥公路站按要求标准已完成施工。挖补工程已完成招标，正在施工。路长制每月进行评比，持续优化路域环境。及时解决路上存在各项问题。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1570" w:type="dxa"/>
            <w:vMerge w:val="continue"/>
            <w:tcBorders>
              <w:left w:val="single" w:color="auto" w:sz="4" w:space="0"/>
              <w:right w:val="single" w:color="auto" w:sz="4" w:space="0"/>
            </w:tcBorders>
          </w:tcPr>
          <w:p>
            <w:pPr>
              <w:jc w:val="center"/>
              <w:rPr>
                <w:rFonts w:hint="eastAsia" w:ascii="仿宋_GB2312" w:hAnsi="仿宋_GB2312" w:eastAsia="仿宋_GB2312" w:cs="仿宋_GB2312"/>
                <w:sz w:val="21"/>
                <w:szCs w:val="21"/>
              </w:rPr>
            </w:pPr>
          </w:p>
        </w:tc>
        <w:tc>
          <w:tcPr>
            <w:tcW w:w="1587" w:type="dxa"/>
            <w:tcBorders>
              <w:left w:val="single" w:color="auto" w:sz="4" w:space="0"/>
              <w:right w:val="single" w:color="auto" w:sz="4" w:space="0"/>
            </w:tcBorders>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专项考核</w:t>
            </w:r>
          </w:p>
          <w:p>
            <w:pPr>
              <w:pStyle w:val="2"/>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（50分）</w:t>
            </w:r>
          </w:p>
          <w:p>
            <w:pPr>
              <w:jc w:val="center"/>
              <w:rPr>
                <w:rFonts w:hint="eastAsia" w:ascii="仿宋_GB2312" w:hAnsi="仿宋_GB2312" w:eastAsia="仿宋_GB2312" w:cs="仿宋_GB2312"/>
                <w:sz w:val="21"/>
                <w:szCs w:val="21"/>
              </w:rPr>
            </w:pPr>
          </w:p>
        </w:tc>
        <w:tc>
          <w:tcPr>
            <w:tcW w:w="3480" w:type="dxa"/>
          </w:tcPr>
          <w:p>
            <w:pPr>
              <w:spacing w:line="320" w:lineRule="exact"/>
              <w:jc w:val="center"/>
              <w:rPr>
                <w:rFonts w:hint="eastAsia" w:ascii="仿宋_GB2312" w:hAnsi="仿宋_GB2312" w:eastAsia="仿宋_GB2312" w:cs="仿宋_GB2312"/>
                <w:color w:val="000000"/>
                <w:kern w:val="0"/>
                <w:sz w:val="21"/>
                <w:szCs w:val="21"/>
              </w:rPr>
            </w:pPr>
          </w:p>
          <w:p>
            <w:pPr>
              <w:spacing w:line="320" w:lineRule="exact"/>
              <w:jc w:val="center"/>
              <w:rPr>
                <w:rFonts w:hint="eastAsia" w:ascii="仿宋_GB2312" w:hAnsi="仿宋_GB2312" w:eastAsia="仿宋_GB2312" w:cs="仿宋_GB2312"/>
                <w:color w:val="000000"/>
                <w:kern w:val="0"/>
                <w:sz w:val="21"/>
                <w:szCs w:val="21"/>
              </w:rPr>
            </w:pPr>
          </w:p>
          <w:p>
            <w:pPr>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16.为“五城同创”贡献公路力量</w:t>
            </w:r>
          </w:p>
        </w:tc>
        <w:tc>
          <w:tcPr>
            <w:tcW w:w="3567" w:type="dxa"/>
          </w:tcPr>
          <w:p>
            <w:pPr>
              <w:spacing w:line="320" w:lineRule="exact"/>
              <w:jc w:val="center"/>
              <w:rPr>
                <w:rFonts w:hint="eastAsia" w:ascii="仿宋_GB2312" w:hAnsi="仿宋_GB2312" w:eastAsia="仿宋_GB2312" w:cs="仿宋_GB2312"/>
                <w:color w:val="000000"/>
                <w:kern w:val="0"/>
                <w:sz w:val="21"/>
                <w:szCs w:val="21"/>
              </w:rPr>
            </w:pPr>
          </w:p>
          <w:p>
            <w:pPr>
              <w:spacing w:line="32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按照上级要求，利用悬挂条幅、电子屏滚动播放创城宣传标语进行宣传，积极参与文明交通志愿服务，做好创城文明城站岗执勤、交通劝导工作，同时发挥职能作用，为创城工作提供“畅、安、舒、美”的公路通行环境。</w:t>
            </w:r>
          </w:p>
        </w:tc>
        <w:tc>
          <w:tcPr>
            <w:tcW w:w="5033" w:type="dxa"/>
          </w:tcPr>
          <w:p>
            <w:pPr>
              <w:spacing w:line="300" w:lineRule="exact"/>
              <w:ind w:firstLine="396"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制作悬挂条幅10个、办公楼电子屏滚动播放创城宣传标语进行宣传，积极参与文明交通志愿服务，5月份成立峄城区公路事业发展中心新时代文明实践服务队，截至目前全市排名第15名，我中心王言峰同志全市个人排名第一名。6月13日做好创城文明城站岗执勤、“一盔一带”交通劝导工作，8月17日参与峄城区创城办安排帮包路段</w:t>
            </w:r>
            <w:r>
              <w:rPr>
                <w:rFonts w:hint="eastAsia" w:ascii="仿宋_GB2312" w:hAnsi="仿宋_GB2312" w:eastAsia="仿宋_GB2312" w:cs="仿宋_GB2312"/>
                <w:sz w:val="21"/>
                <w:szCs w:val="21"/>
              </w:rPr>
              <w:t>承水路南侧（峄山路至宏学路）帮包服务，志愿服务持续进行。</w:t>
            </w:r>
            <w:r>
              <w:rPr>
                <w:rFonts w:hint="eastAsia" w:ascii="仿宋_GB2312" w:hAnsi="仿宋_GB2312" w:eastAsia="仿宋_GB2312" w:cs="仿宋_GB2312"/>
                <w:color w:val="000000"/>
                <w:kern w:val="0"/>
                <w:sz w:val="21"/>
                <w:szCs w:val="21"/>
              </w:rPr>
              <w:t>同时发挥职能作用，为创城工作提供“畅、安、舒、美”的公路通行环境。</w:t>
            </w:r>
          </w:p>
        </w:tc>
      </w:tr>
    </w:tbl>
    <w:p>
      <w:pPr>
        <w:ind w:firstLine="594" w:firstLineChars="300"/>
      </w:pPr>
      <w:r>
        <w:rPr>
          <w:rFonts w:hint="eastAsia" w:ascii="仿宋_GB2312" w:hAnsi="仿宋_GB2312" w:eastAsia="仿宋_GB2312" w:cs="仿宋_GB2312"/>
          <w:sz w:val="21"/>
          <w:szCs w:val="21"/>
        </w:rPr>
        <w:t>填报人：周平                                                 联系电话：7522558</w:t>
      </w:r>
      <w:bookmarkStart w:id="0" w:name="_GoBack"/>
      <w:bookmarkEnd w:id="0"/>
    </w:p>
    <w:sectPr>
      <w:headerReference r:id="rId3" w:type="default"/>
      <w:footerReference r:id="rId4" w:type="default"/>
      <w:pgSz w:w="16840" w:h="11907" w:orient="landscape"/>
      <w:pgMar w:top="1134" w:right="1020" w:bottom="907" w:left="1020" w:header="851" w:footer="1871" w:gutter="0"/>
      <w:cols w:space="720" w:num="1"/>
      <w:docGrid w:type="linesAndChars" w:linePitch="286" w:charSpace="-2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B8853"/>
    <w:multiLevelType w:val="singleLevel"/>
    <w:tmpl w:val="138B8853"/>
    <w:lvl w:ilvl="0" w:tentative="0">
      <w:start w:val="1"/>
      <w:numFmt w:val="decimal"/>
      <w:suff w:val="nothing"/>
      <w:lvlText w:val="%1、"/>
      <w:lvlJc w:val="left"/>
    </w:lvl>
  </w:abstractNum>
  <w:abstractNum w:abstractNumId="1">
    <w:nsid w:val="3ABE0BB8"/>
    <w:multiLevelType w:val="singleLevel"/>
    <w:tmpl w:val="3ABE0BB8"/>
    <w:lvl w:ilvl="0" w:tentative="0">
      <w:start w:val="1"/>
      <w:numFmt w:val="decimal"/>
      <w:suff w:val="nothing"/>
      <w:lvlText w:val="%1、"/>
      <w:lvlJc w:val="left"/>
    </w:lvl>
  </w:abstractNum>
  <w:abstractNum w:abstractNumId="2">
    <w:nsid w:val="7EFD2A1E"/>
    <w:multiLevelType w:val="singleLevel"/>
    <w:tmpl w:val="7EFD2A1E"/>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lMGRkOTk5ZGI3NDE2ZTFmY2YxZTg3NmQ1MjdjMTUifQ=="/>
  </w:docVars>
  <w:rsids>
    <w:rsidRoot w:val="6EAE066C"/>
    <w:rsid w:val="000A18AA"/>
    <w:rsid w:val="000D3A14"/>
    <w:rsid w:val="008760A3"/>
    <w:rsid w:val="009A0551"/>
    <w:rsid w:val="00A47235"/>
    <w:rsid w:val="00E15757"/>
    <w:rsid w:val="10152E8B"/>
    <w:rsid w:val="11627C72"/>
    <w:rsid w:val="1F236228"/>
    <w:rsid w:val="21C94ED1"/>
    <w:rsid w:val="22E06C9B"/>
    <w:rsid w:val="23846E83"/>
    <w:rsid w:val="285C4B48"/>
    <w:rsid w:val="2F97F1F6"/>
    <w:rsid w:val="307E4A31"/>
    <w:rsid w:val="31751F07"/>
    <w:rsid w:val="33F620ED"/>
    <w:rsid w:val="354C4FE6"/>
    <w:rsid w:val="36D0948F"/>
    <w:rsid w:val="3D6D8A29"/>
    <w:rsid w:val="3DF7550A"/>
    <w:rsid w:val="3FF49E0F"/>
    <w:rsid w:val="42BB1050"/>
    <w:rsid w:val="43BB4DC5"/>
    <w:rsid w:val="47F0441B"/>
    <w:rsid w:val="48B9635D"/>
    <w:rsid w:val="4E77565F"/>
    <w:rsid w:val="54613836"/>
    <w:rsid w:val="56852DEC"/>
    <w:rsid w:val="57626EF5"/>
    <w:rsid w:val="5AFE1AC9"/>
    <w:rsid w:val="5BBE3A87"/>
    <w:rsid w:val="5F422BDD"/>
    <w:rsid w:val="604C7A93"/>
    <w:rsid w:val="63E7AA4D"/>
    <w:rsid w:val="64474A3E"/>
    <w:rsid w:val="695F0BBD"/>
    <w:rsid w:val="6DFF2EC1"/>
    <w:rsid w:val="6EAE066C"/>
    <w:rsid w:val="6FF1412A"/>
    <w:rsid w:val="7AFCF286"/>
    <w:rsid w:val="7BABBF40"/>
    <w:rsid w:val="7BBB162B"/>
    <w:rsid w:val="7BFEDCF8"/>
    <w:rsid w:val="7BFFBE9C"/>
    <w:rsid w:val="7E181609"/>
    <w:rsid w:val="7EB72C07"/>
    <w:rsid w:val="7FCE28D6"/>
    <w:rsid w:val="7FE777F0"/>
    <w:rsid w:val="7FFE9D85"/>
    <w:rsid w:val="A9EA46B1"/>
    <w:rsid w:val="BBCFA6D9"/>
    <w:rsid w:val="CFFE3DC0"/>
    <w:rsid w:val="D9C88A16"/>
    <w:rsid w:val="DD7A4D0F"/>
    <w:rsid w:val="DEAE6B2B"/>
    <w:rsid w:val="DFFD0093"/>
    <w:rsid w:val="E177B384"/>
    <w:rsid w:val="E3B7CF5A"/>
    <w:rsid w:val="EDFF63C0"/>
    <w:rsid w:val="EFCB161B"/>
    <w:rsid w:val="EFCF987D"/>
    <w:rsid w:val="F57B59E6"/>
    <w:rsid w:val="F7BCA9F5"/>
    <w:rsid w:val="F7BF75AA"/>
    <w:rsid w:val="FB8EA1DA"/>
    <w:rsid w:val="FBD20814"/>
    <w:rsid w:val="FBFF2168"/>
    <w:rsid w:val="FF6F1EDD"/>
    <w:rsid w:val="FFBBAFD0"/>
    <w:rsid w:val="FFBBCAB4"/>
    <w:rsid w:val="FFCF88E2"/>
    <w:rsid w:val="FFEEFFA1"/>
    <w:rsid w:val="FFFD5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3">
    <w:name w:val="Normal Indent"/>
    <w:basedOn w:val="1"/>
    <w:next w:val="1"/>
    <w:semiHidden/>
    <w:qFormat/>
    <w:uiPriority w:val="99"/>
    <w:pPr>
      <w:ind w:firstLine="420" w:firstLineChars="200"/>
    </w:pPr>
  </w:style>
  <w:style w:type="paragraph" w:styleId="4">
    <w:name w:val="Body Text"/>
    <w:basedOn w:val="1"/>
    <w:next w:val="1"/>
    <w:qFormat/>
    <w:uiPriority w:val="0"/>
  </w:style>
  <w:style w:type="paragraph" w:styleId="5">
    <w:name w:val="Body Text Indent"/>
    <w:basedOn w:val="1"/>
    <w:next w:val="3"/>
    <w:qFormat/>
    <w:uiPriority w:val="0"/>
    <w:pPr>
      <w:spacing w:line="800" w:lineRule="exact"/>
      <w:ind w:firstLine="573"/>
    </w:pPr>
    <w:rPr>
      <w:rFonts w:ascii="仿宋_GB2312"/>
      <w:spacing w:val="46"/>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4"/>
    <w:qFormat/>
    <w:uiPriority w:val="0"/>
    <w:pPr>
      <w:ind w:firstLine="420" w:firstLineChars="100"/>
    </w:pPr>
    <w:rPr>
      <w:rFonts w:cs="Calibri"/>
      <w:szCs w:val="21"/>
    </w:rPr>
  </w:style>
  <w:style w:type="paragraph" w:styleId="9">
    <w:name w:val="Body Text First Indent 2"/>
    <w:basedOn w:val="5"/>
    <w:next w:val="8"/>
    <w:unhideWhenUsed/>
    <w:qFormat/>
    <w:uiPriority w:val="0"/>
    <w:pPr>
      <w:ind w:firstLine="420" w:firstLineChars="200"/>
    </w:pPr>
  </w:style>
  <w:style w:type="character" w:styleId="12">
    <w:name w:val="page number"/>
    <w:basedOn w:val="11"/>
    <w:qFormat/>
    <w:uiPriority w:val="0"/>
  </w:style>
  <w:style w:type="character" w:styleId="13">
    <w:name w:val="Hyperlink"/>
    <w:basedOn w:val="11"/>
    <w:qFormat/>
    <w:uiPriority w:val="0"/>
    <w:rPr>
      <w:color w:val="0000FF"/>
      <w:u w:val="single"/>
    </w:rPr>
  </w:style>
  <w:style w:type="paragraph" w:customStyle="1" w:styleId="14">
    <w:name w:val="Table Paragraph"/>
    <w:basedOn w:val="1"/>
    <w:qFormat/>
    <w:uiPriority w:val="1"/>
    <w:pPr>
      <w:autoSpaceDE w:val="0"/>
      <w:autoSpaceDN w:val="0"/>
      <w:jc w:val="left"/>
    </w:pPr>
    <w:rPr>
      <w:rFonts w:eastAsia="Times New Roman"/>
      <w:kern w:val="0"/>
      <w:sz w:val="22"/>
      <w:lang w:eastAsia="en-US"/>
    </w:rPr>
  </w:style>
  <w:style w:type="paragraph" w:customStyle="1" w:styleId="15">
    <w:name w:val="UserStyle_5"/>
    <w:basedOn w:val="1"/>
    <w:qFormat/>
    <w:uiPriority w:val="0"/>
    <w:pPr>
      <w:jc w:val="left"/>
      <w:textAlignment w:val="baseline"/>
    </w:pPr>
    <w:rPr>
      <w:rFonts w:eastAsia="Times New Roman"/>
      <w:kern w:val="0"/>
      <w:sz w:val="22"/>
      <w:szCs w:val="22"/>
      <w:lang w:eastAsia="en-US"/>
    </w:rPr>
  </w:style>
  <w:style w:type="character" w:customStyle="1" w:styleId="16">
    <w:name w:val="NormalCharacter"/>
    <w:semiHidden/>
    <w:qFormat/>
    <w:uiPriority w:val="0"/>
    <w:rPr>
      <w:kern w:val="2"/>
      <w:sz w:val="21"/>
      <w:szCs w:val="22"/>
      <w:lang w:val="en-US" w:eastAsia="zh-CN" w:bidi="ar-SA"/>
    </w:rPr>
  </w:style>
  <w:style w:type="paragraph" w:customStyle="1" w:styleId="17">
    <w:name w:val="正文首行缩进 21"/>
    <w:basedOn w:val="1"/>
    <w:qFormat/>
    <w:uiPriority w:val="99"/>
    <w:pPr>
      <w:ind w:left="420" w:leftChars="200" w:firstLine="420" w:firstLineChars="200"/>
    </w:pPr>
    <w:rPr>
      <w:rFonts w:ascii="Calibri" w:hAnsi="Calibri"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4260</Words>
  <Characters>4361</Characters>
  <Lines>30</Lines>
  <Paragraphs>8</Paragraphs>
  <TotalTime>5</TotalTime>
  <ScaleCrop>false</ScaleCrop>
  <LinksUpToDate>false</LinksUpToDate>
  <CharactersWithSpaces>4432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2022-07-08T19:51:00Z</dcterms:created>
  <dc:creator>℡倁昜垳難〆~*</dc:creator>
  <cp:lastModifiedBy>WPS_1641520373</cp:lastModifiedBy>
  <cp:lastPrinted>2022-11-07T09:04:00Z</cp:lastPrinted>
  <dcterms:modified xsi:type="dcterms:W3CDTF">2022-11-07T03:31:14Z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0998E1F03D924B25BD38769926B7FA3B</vt:lpwstr>
  </property>
</Properties>
</file>